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Advantages of The Miami Makers Model</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"Miami Makers - Co-Developers Partners Not Paychecks" model offers a revolutionary approach to real estate development, providing numerous benefits for all participating partners:</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Minimized Cash Investments &amp; Reduced Risks:</w:t>
      </w:r>
      <w:r w:rsidDel="00000000" w:rsidR="00000000" w:rsidRPr="00000000">
        <w:rPr>
          <w:rFonts w:ascii="Google Sans Text" w:cs="Google Sans Text" w:eastAsia="Google Sans Text" w:hAnsi="Google Sans Text"/>
          <w:i w:val="0"/>
          <w:color w:val="1b1c1d"/>
          <w:sz w:val="24"/>
          <w:szCs w:val="24"/>
          <w:rtl w:val="0"/>
        </w:rPr>
        <w:t xml:space="preserve"> This model significantly reduces the need for upfront cash contributions from partners, mitigating financial exposure. It operates without traditional loans or external debt, removing pressures from interest accrual and lender demands, and inherently lowering the risk of financial stress.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Equitable Collaboration &amp; Profit Sharing:</w:t>
      </w:r>
      <w:r w:rsidDel="00000000" w:rsidR="00000000" w:rsidRPr="00000000">
        <w:rPr>
          <w:rFonts w:ascii="Google Sans Text" w:cs="Google Sans Text" w:eastAsia="Google Sans Text" w:hAnsi="Google Sans Text"/>
          <w:i w:val="0"/>
          <w:color w:val="1b1c1d"/>
          <w:sz w:val="24"/>
          <w:szCs w:val="24"/>
          <w:rtl w:val="0"/>
        </w:rPr>
        <w:t xml:space="preserve"> Professionals contribute expertise, services, or materials in-kind, valued at market rates and treated as investments. Partners earn a pro-rata share of the huge projected profits, fostering a truly collaborative and shared success environment.</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Time-Weighted Preferred Return:</w:t>
      </w:r>
      <w:r w:rsidDel="00000000" w:rsidR="00000000" w:rsidRPr="00000000">
        <w:rPr>
          <w:rFonts w:ascii="Google Sans Text" w:cs="Google Sans Text" w:eastAsia="Google Sans Text" w:hAnsi="Google Sans Text"/>
          <w:i w:val="0"/>
          <w:color w:val="1b1c1d"/>
          <w:sz w:val="24"/>
          <w:szCs w:val="24"/>
          <w:rtl w:val="0"/>
        </w:rPr>
        <w:t xml:space="preserve"> To reward early participation and higher risk exposure, partners receive a time-weighted 8% annualized preferred return on their contributions.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Elimination of Traditional Financing Barriers:</w:t>
      </w:r>
      <w:r w:rsidDel="00000000" w:rsidR="00000000" w:rsidRPr="00000000">
        <w:rPr>
          <w:rFonts w:ascii="Google Sans Text" w:cs="Google Sans Text" w:eastAsia="Google Sans Text" w:hAnsi="Google Sans Text"/>
          <w:i w:val="0"/>
          <w:color w:val="1b1c1d"/>
          <w:sz w:val="24"/>
          <w:szCs w:val="24"/>
          <w:rtl w:val="0"/>
        </w:rPr>
        <w:t xml:space="preserve"> By bypassing bureaucratic financing hurdles, the project can accelerate timelines, potentially shortening overall development by 6-12 months as decisions are made collaboratively without external lender vetoes.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Construction Costs:</w:t>
      </w:r>
      <w:r w:rsidDel="00000000" w:rsidR="00000000" w:rsidRPr="00000000">
        <w:rPr>
          <w:rFonts w:ascii="Google Sans Text" w:cs="Google Sans Text" w:eastAsia="Google Sans Text" w:hAnsi="Google Sans Text"/>
          <w:i w:val="0"/>
          <w:color w:val="1b1c1d"/>
          <w:sz w:val="24"/>
          <w:szCs w:val="24"/>
          <w:rtl w:val="0"/>
        </w:rPr>
        <w:t xml:space="preserve"> The model aims to cut construction costs by up to 20% per square foot by avoiding lender delays and interest payments.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Transparent &amp; Milestone-Driven Profit Distribution:</w:t>
      </w:r>
      <w:r w:rsidDel="00000000" w:rsidR="00000000" w:rsidRPr="00000000">
        <w:rPr>
          <w:rFonts w:ascii="Google Sans Text" w:cs="Google Sans Text" w:eastAsia="Google Sans Text" w:hAnsi="Google Sans Text"/>
          <w:i w:val="0"/>
          <w:color w:val="1b1c1d"/>
          <w:sz w:val="24"/>
          <w:szCs w:val="24"/>
          <w:rtl w:val="0"/>
        </w:rPr>
        <w:t xml:space="preserve"> Distributions begin quarterly from Month 18, triggered by sales exceeding 20% increments of salable area or when available cash surpasses $5M, allowing payouts before full project completion.</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Partner Perks &amp; Tax Benefits:</w:t>
      </w:r>
      <w:r w:rsidDel="00000000" w:rsidR="00000000" w:rsidRPr="00000000">
        <w:rPr>
          <w:rFonts w:ascii="Google Sans Text" w:cs="Google Sans Text" w:eastAsia="Google Sans Text" w:hAnsi="Google Sans Text"/>
          <w:i w:val="0"/>
          <w:color w:val="1b1c1d"/>
          <w:sz w:val="24"/>
          <w:szCs w:val="24"/>
          <w:rtl w:val="0"/>
        </w:rPr>
        <w:t xml:space="preserve"> All partners, including cash contributors, gain access to benefits like reduced pricing on units and the transfer of depreciation, along with the potential for long-term holds on short-term rental (STR) units.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Sales Advantage &amp; Self-Financing Options:</w:t>
      </w:r>
      <w:r w:rsidDel="00000000" w:rsidR="00000000" w:rsidRPr="00000000">
        <w:rPr>
          <w:rFonts w:ascii="Google Sans Text" w:cs="Google Sans Text" w:eastAsia="Google Sans Text" w:hAnsi="Google Sans Text"/>
          <w:i w:val="0"/>
          <w:color w:val="1b1c1d"/>
          <w:sz w:val="24"/>
          <w:szCs w:val="24"/>
          <w:rtl w:val="0"/>
        </w:rPr>
        <w:t xml:space="preserve"> The debt-free structure enables offering competitive self-financing options to regular buyers, where partners can opt to fund these mortgages based on their shares. This extends partners' return horizons, reduces tax bills through interest income treatment and potential deductions, and allows issued mortgages to serve as collateral for other financial needs.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Market Timing:</w:t>
      </w:r>
      <w:r w:rsidDel="00000000" w:rsidR="00000000" w:rsidRPr="00000000">
        <w:rPr>
          <w:rFonts w:ascii="Google Sans Text" w:cs="Google Sans Text" w:eastAsia="Google Sans Text" w:hAnsi="Google Sans Text"/>
          <w:i w:val="0"/>
          <w:color w:val="1b1c1d"/>
          <w:sz w:val="24"/>
          <w:szCs w:val="24"/>
          <w:rtl w:val="0"/>
        </w:rPr>
        <w:t xml:space="preserve"> Without the pressure of loan repayment, the model allows for strategic timing to capitalize on optimal market conditions, such as waiting for interest rates to decline or real estate prices to rise, maximizing revenue without forced sales.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Favorable Bridge Financing Terms:</w:t>
      </w:r>
      <w:r w:rsidDel="00000000" w:rsidR="00000000" w:rsidRPr="00000000">
        <w:rPr>
          <w:rFonts w:ascii="Google Sans Text" w:cs="Google Sans Text" w:eastAsia="Google Sans Text" w:hAnsi="Google Sans Text"/>
          <w:i w:val="0"/>
          <w:color w:val="1b1c1d"/>
          <w:sz w:val="24"/>
          <w:szCs w:val="24"/>
          <w:rtl w:val="0"/>
        </w:rPr>
        <w:t xml:space="preserve"> Should small bridge financing be required, the project's strong equity position (backed by in-kind assets and no existing debt) provides a huge negotiating advantage for favorable rates and terms.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Perpetual Residual Income from STRs:</w:t>
      </w:r>
      <w:r w:rsidDel="00000000" w:rsidR="00000000" w:rsidRPr="00000000">
        <w:rPr>
          <w:rFonts w:ascii="Google Sans Text" w:cs="Google Sans Text" w:eastAsia="Google Sans Text" w:hAnsi="Google Sans Text"/>
          <w:i w:val="0"/>
          <w:color w:val="1b1c1d"/>
          <w:sz w:val="24"/>
          <w:szCs w:val="24"/>
          <w:rtl w:val="0"/>
        </w:rPr>
        <w:t xml:space="preserve"> Partners can elect to retain all or part of the hospitality suites for STR operation, generating perpetual residual income while enjoying reduced tax liabilities through depreciation and operational deductions.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Tax-Deferred Scaling:</w:t>
      </w:r>
      <w:r w:rsidDel="00000000" w:rsidR="00000000" w:rsidRPr="00000000">
        <w:rPr>
          <w:rFonts w:ascii="Google Sans Text" w:cs="Google Sans Text" w:eastAsia="Google Sans Text" w:hAnsi="Google Sans Text"/>
          <w:i w:val="0"/>
          <w:color w:val="1b1c1d"/>
          <w:sz w:val="24"/>
          <w:szCs w:val="24"/>
          <w:rtl w:val="0"/>
        </w:rPr>
        <w:t xml:space="preserve"> Profits from the project can be rolled into future developments via 1031 exchanges, deferring capital gains taxes and enabling seamless scaling of investments.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Faster Decision-Making and Execution:</w:t>
      </w:r>
      <w:r w:rsidDel="00000000" w:rsidR="00000000" w:rsidRPr="00000000">
        <w:rPr>
          <w:rFonts w:ascii="Google Sans Text" w:cs="Google Sans Text" w:eastAsia="Google Sans Text" w:hAnsi="Google Sans Text"/>
          <w:i w:val="0"/>
          <w:color w:val="1b1c1d"/>
          <w:sz w:val="24"/>
          <w:szCs w:val="24"/>
          <w:rtl w:val="0"/>
        </w:rPr>
        <w:t xml:space="preserve"> Assembling a "super team" of top professionals contributing in-kind streamlines decision-making, bypassing traditional bureaucratic financing hurdles and potentially shortening overall development timelines.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and Network Effects:</w:t>
      </w:r>
      <w:r w:rsidDel="00000000" w:rsidR="00000000" w:rsidRPr="00000000">
        <w:rPr>
          <w:rFonts w:ascii="Google Sans Text" w:cs="Google Sans Text" w:eastAsia="Google Sans Text" w:hAnsi="Google Sans Text"/>
          <w:i w:val="0"/>
          <w:color w:val="1b1c1d"/>
          <w:sz w:val="24"/>
          <w:szCs w:val="24"/>
          <w:rtl w:val="0"/>
        </w:rPr>
        <w:t xml:space="preserve"> Successful partnerships build a reusable ecosystem for future projects, reducing onboarding costs and fostering long-term alliances that lower risks in subsequent ventures.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Resilience to Economic Volatility:</w:t>
      </w:r>
      <w:r w:rsidDel="00000000" w:rsidR="00000000" w:rsidRPr="00000000">
        <w:rPr>
          <w:rFonts w:ascii="Google Sans Text" w:cs="Google Sans Text" w:eastAsia="Google Sans Text" w:hAnsi="Google Sans Text"/>
          <w:i w:val="0"/>
          <w:color w:val="1b1c1d"/>
          <w:sz w:val="24"/>
          <w:szCs w:val="24"/>
          <w:rtl w:val="0"/>
        </w:rPr>
        <w:t xml:space="preserve"> The cushion from cost savings and flexible timing mitigates downturns; for instance, idle cash can be invested in low-risk US short-term Treasury bonds to earn yields while awaiting optimal market conditions.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